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148" w:rsidRDefault="00AA4148" w:rsidP="00AA4148">
      <w:pPr>
        <w:spacing w:after="0" w:line="288" w:lineRule="auto"/>
        <w:jc w:val="center"/>
        <w:rPr>
          <w:rFonts w:ascii="Times New Roman" w:hAnsi="Times New Roman" w:cs="Times New Roman"/>
          <w:b/>
          <w:sz w:val="24"/>
          <w:szCs w:val="24"/>
        </w:rPr>
      </w:pPr>
      <w:r w:rsidRPr="008269EA">
        <w:rPr>
          <w:rFonts w:ascii="Times New Roman" w:hAnsi="Times New Roman" w:cs="Times New Roman"/>
          <w:b/>
          <w:sz w:val="24"/>
          <w:szCs w:val="24"/>
        </w:rPr>
        <w:t xml:space="preserve">Требования к </w:t>
      </w:r>
      <w:r>
        <w:rPr>
          <w:rFonts w:ascii="Times New Roman" w:hAnsi="Times New Roman" w:cs="Times New Roman"/>
          <w:b/>
          <w:sz w:val="24"/>
          <w:szCs w:val="24"/>
        </w:rPr>
        <w:t>местам установки приборов учета электроэнергии</w:t>
      </w:r>
    </w:p>
    <w:p w:rsidR="00835635" w:rsidRPr="00666879" w:rsidRDefault="00835635" w:rsidP="00442390">
      <w:pPr>
        <w:spacing w:after="0" w:line="288" w:lineRule="auto"/>
        <w:ind w:left="-426" w:firstLine="426"/>
        <w:jc w:val="both"/>
        <w:rPr>
          <w:rFonts w:ascii="Times New Roman" w:hAnsi="Times New Roman" w:cs="Times New Roman"/>
        </w:rPr>
      </w:pPr>
    </w:p>
    <w:p w:rsidR="00666879" w:rsidRPr="00666879" w:rsidRDefault="004F5723" w:rsidP="00666879">
      <w:pPr>
        <w:spacing w:after="0" w:line="288" w:lineRule="auto"/>
        <w:ind w:left="-426" w:firstLine="426"/>
        <w:jc w:val="both"/>
        <w:rPr>
          <w:rFonts w:ascii="Times New Roman" w:hAnsi="Times New Roman" w:cs="Times New Roman"/>
        </w:rPr>
      </w:pPr>
      <w:r>
        <w:rPr>
          <w:rFonts w:ascii="Times New Roman" w:hAnsi="Times New Roman" w:cs="Times New Roman"/>
        </w:rPr>
        <w:t>Приборы учета</w:t>
      </w:r>
      <w:r w:rsidR="00666879" w:rsidRPr="00666879">
        <w:rPr>
          <w:rFonts w:ascii="Times New Roman" w:hAnsi="Times New Roman" w:cs="Times New Roman"/>
        </w:rPr>
        <w:t xml:space="preserve"> должны размещаться в легко доступных для обслуживания сухих помещениях, в достаточно свободном и не стесненном для работы месте с температурой в зимнее время не ниже 0 град. C.</w:t>
      </w:r>
    </w:p>
    <w:p w:rsidR="00666879" w:rsidRPr="00666879" w:rsidRDefault="004F5723" w:rsidP="00666879">
      <w:pPr>
        <w:spacing w:after="0" w:line="288" w:lineRule="auto"/>
        <w:ind w:left="-426" w:firstLine="426"/>
        <w:jc w:val="both"/>
        <w:rPr>
          <w:rFonts w:ascii="Times New Roman" w:hAnsi="Times New Roman" w:cs="Times New Roman"/>
        </w:rPr>
      </w:pPr>
      <w:r>
        <w:rPr>
          <w:rFonts w:ascii="Times New Roman" w:hAnsi="Times New Roman" w:cs="Times New Roman"/>
        </w:rPr>
        <w:t>Приборы учета</w:t>
      </w:r>
      <w:r w:rsidR="00666879" w:rsidRPr="00666879">
        <w:rPr>
          <w:rFonts w:ascii="Times New Roman" w:hAnsi="Times New Roman" w:cs="Times New Roman"/>
        </w:rPr>
        <w:t xml:space="preserve"> общепромышленного исполнения не разрешается устанавливать в помещениях, где по производственным условиям температура может часто превышать +40 град. C, а также в помещениях с агрессивными средами.</w:t>
      </w:r>
    </w:p>
    <w:p w:rsidR="00666879" w:rsidRDefault="00666879" w:rsidP="00666879">
      <w:pPr>
        <w:spacing w:after="0" w:line="288" w:lineRule="auto"/>
        <w:ind w:left="-426" w:firstLine="426"/>
        <w:jc w:val="both"/>
        <w:rPr>
          <w:rFonts w:ascii="Times New Roman" w:hAnsi="Times New Roman" w:cs="Times New Roman"/>
          <w:lang w:val="en-US"/>
        </w:rPr>
      </w:pPr>
      <w:r w:rsidRPr="00666879">
        <w:rPr>
          <w:rFonts w:ascii="Times New Roman" w:hAnsi="Times New Roman" w:cs="Times New Roman"/>
        </w:rPr>
        <w:t xml:space="preserve">Допускается размещение </w:t>
      </w:r>
      <w:r w:rsidR="004F5723">
        <w:rPr>
          <w:rFonts w:ascii="Times New Roman" w:hAnsi="Times New Roman" w:cs="Times New Roman"/>
        </w:rPr>
        <w:t>приборов учета</w:t>
      </w:r>
      <w:r w:rsidRPr="00666879">
        <w:rPr>
          <w:rFonts w:ascii="Times New Roman" w:hAnsi="Times New Roman" w:cs="Times New Roman"/>
        </w:rPr>
        <w:t xml:space="preserve"> в неотапливаемых помещениях и коридорах распределительных устройств электростанций и подстанций, а также в шкафах наружной установки. При этом должно быть предусмотрено стационарное их утепление на зимнее время посредством утепляющих шкафов, колпаков с подогревом воздуха внутри них электрической лампой или нагревательным элементом для обеспечения внутри колпака положительной температуры, но не выше +20 град. C.</w:t>
      </w:r>
    </w:p>
    <w:p w:rsidR="00666879" w:rsidRPr="00666879" w:rsidRDefault="004F5723" w:rsidP="00666879">
      <w:pPr>
        <w:spacing w:after="0" w:line="288" w:lineRule="auto"/>
        <w:ind w:left="-426" w:firstLine="426"/>
        <w:jc w:val="both"/>
        <w:rPr>
          <w:rFonts w:ascii="Times New Roman" w:hAnsi="Times New Roman" w:cs="Times New Roman"/>
        </w:rPr>
      </w:pPr>
      <w:r>
        <w:rPr>
          <w:rFonts w:ascii="Times New Roman" w:hAnsi="Times New Roman" w:cs="Times New Roman"/>
        </w:rPr>
        <w:t>Приборы учета</w:t>
      </w:r>
      <w:r w:rsidR="00666879" w:rsidRPr="00666879">
        <w:rPr>
          <w:rFonts w:ascii="Times New Roman" w:hAnsi="Times New Roman" w:cs="Times New Roman"/>
        </w:rPr>
        <w:t xml:space="preserve"> должны устанавливаться в шкафах, камерах комплектных распределительных устройствах (КРУ, КРУН), на панелях, щитах, в нишах, на стенах, имеющих жесткую конструкцию.</w:t>
      </w:r>
    </w:p>
    <w:p w:rsidR="00666879" w:rsidRPr="00666879" w:rsidRDefault="00666879" w:rsidP="00666879">
      <w:pPr>
        <w:spacing w:after="0" w:line="288" w:lineRule="auto"/>
        <w:ind w:left="-426" w:firstLine="426"/>
        <w:jc w:val="both"/>
        <w:rPr>
          <w:rFonts w:ascii="Times New Roman" w:hAnsi="Times New Roman" w:cs="Times New Roman"/>
        </w:rPr>
      </w:pPr>
      <w:r w:rsidRPr="00666879">
        <w:rPr>
          <w:rFonts w:ascii="Times New Roman" w:hAnsi="Times New Roman" w:cs="Times New Roman"/>
        </w:rPr>
        <w:t xml:space="preserve">Допускается крепление </w:t>
      </w:r>
      <w:r w:rsidR="004F5723">
        <w:rPr>
          <w:rFonts w:ascii="Times New Roman" w:hAnsi="Times New Roman" w:cs="Times New Roman"/>
        </w:rPr>
        <w:t>приборов учета</w:t>
      </w:r>
      <w:r w:rsidRPr="00666879">
        <w:rPr>
          <w:rFonts w:ascii="Times New Roman" w:hAnsi="Times New Roman" w:cs="Times New Roman"/>
        </w:rPr>
        <w:t xml:space="preserve"> на деревянных, пластмассовых или металлических щитках.</w:t>
      </w:r>
    </w:p>
    <w:p w:rsidR="00666879" w:rsidRPr="004F5723" w:rsidRDefault="00666879" w:rsidP="00666879">
      <w:pPr>
        <w:spacing w:after="0" w:line="288" w:lineRule="auto"/>
        <w:ind w:left="-426" w:firstLine="426"/>
        <w:jc w:val="both"/>
        <w:rPr>
          <w:rFonts w:ascii="Times New Roman" w:hAnsi="Times New Roman" w:cs="Times New Roman"/>
        </w:rPr>
      </w:pPr>
      <w:r w:rsidRPr="00666879">
        <w:rPr>
          <w:rFonts w:ascii="Times New Roman" w:hAnsi="Times New Roman" w:cs="Times New Roman"/>
        </w:rPr>
        <w:t xml:space="preserve">Высота от пола до коробки зажимов </w:t>
      </w:r>
      <w:r w:rsidR="004F5723">
        <w:rPr>
          <w:rFonts w:ascii="Times New Roman" w:hAnsi="Times New Roman" w:cs="Times New Roman"/>
        </w:rPr>
        <w:t>приборов учета</w:t>
      </w:r>
      <w:r w:rsidRPr="00666879">
        <w:rPr>
          <w:rFonts w:ascii="Times New Roman" w:hAnsi="Times New Roman" w:cs="Times New Roman"/>
        </w:rPr>
        <w:t xml:space="preserve"> должна быть в пределах 0,8 - 1,7 м. Допускается высота менее 0,8 м, но не менее 0,4 м.</w:t>
      </w:r>
    </w:p>
    <w:p w:rsidR="00F91541" w:rsidRPr="00F91541" w:rsidRDefault="004F5723" w:rsidP="004F5723">
      <w:pPr>
        <w:spacing w:after="0" w:line="288" w:lineRule="auto"/>
        <w:ind w:left="-426" w:firstLine="426"/>
        <w:jc w:val="both"/>
        <w:rPr>
          <w:rFonts w:ascii="Times New Roman" w:hAnsi="Times New Roman" w:cs="Times New Roman"/>
        </w:rPr>
      </w:pPr>
      <w:r>
        <w:rPr>
          <w:rFonts w:ascii="Times New Roman" w:hAnsi="Times New Roman" w:cs="Times New Roman"/>
        </w:rPr>
        <w:t>Приборы</w:t>
      </w:r>
      <w:r w:rsidR="00F91541" w:rsidRPr="00F91541">
        <w:rPr>
          <w:rFonts w:ascii="Times New Roman" w:hAnsi="Times New Roman" w:cs="Times New Roman"/>
        </w:rPr>
        <w:t xml:space="preserve"> учета подлежат установке на границах балансовой принадлежности объектов электроэнергетики (энергопринимающих устройств) смежных субъектов розничного рынка - потребителей, производителей электрической энергии (мощности) на розничных рынках, сетевых организаций, имеющих общую границу балансовой принадлежности (далее - смежные субъекты розничного рынка), а также в иных местах с соблюдением установленных законодательством Российской Федерации требований к местам установки приборов учета. При отсутствии технической возможности установки прибора учета на границе балансовой принадлежности объектов электроэнергетики (энергопринимающих устройств) смежных субъектов розничного рынка прибор учета подлежит установке в месте, максимально приближенном к границе балансовой принадлежности, в котором имеется техническая возможность его установки. При этом по соглашению между смежными субъектами розничного рынка прибор учета, подлежащий использованию для определения объемов потребления (производства, передачи) электрической энергии одного субъекта, может быть установлен в границах объектов электроэнергетики (энергопринимающих устройств) другого смежного субъекта.</w:t>
      </w:r>
    </w:p>
    <w:p w:rsidR="00F91541" w:rsidRPr="008269EA" w:rsidRDefault="00F91541" w:rsidP="001B685F">
      <w:pPr>
        <w:spacing w:after="0" w:line="288" w:lineRule="auto"/>
        <w:ind w:left="-426" w:firstLine="426"/>
        <w:jc w:val="both"/>
        <w:rPr>
          <w:rFonts w:ascii="Times New Roman" w:hAnsi="Times New Roman" w:cs="Times New Roman"/>
        </w:rPr>
      </w:pPr>
      <w:r w:rsidRPr="00F91541">
        <w:rPr>
          <w:rFonts w:ascii="Times New Roman" w:hAnsi="Times New Roman" w:cs="Times New Roman"/>
        </w:rPr>
        <w:t xml:space="preserve">В случае если прибор учета, в том числе коллективный (общедомовой) прибор учета в многоквартирном доме, расположен не на границе балансовой принадлежности объектов электроэнергетики (энергопринимающих устройств) смежных субъектов розничного рынка, то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При этом расчет величины потерь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 Если на дату вступления в силу </w:t>
      </w:r>
      <w:r w:rsidR="000C66FA" w:rsidRPr="000C66FA">
        <w:rPr>
          <w:rFonts w:ascii="Times New Roman" w:hAnsi="Times New Roman" w:cs="Times New Roman"/>
        </w:rPr>
        <w:t>Основных положений функционирования розничных рынков электрической энергии (утв. Постановлением Правительства РФ от 04.05.2012 № 442)</w:t>
      </w:r>
      <w:r w:rsidR="000C66FA">
        <w:rPr>
          <w:rFonts w:ascii="Times New Roman" w:hAnsi="Times New Roman" w:cs="Times New Roman"/>
        </w:rPr>
        <w:t xml:space="preserve"> </w:t>
      </w:r>
      <w:r w:rsidRPr="00F91541">
        <w:rPr>
          <w:rFonts w:ascii="Times New Roman" w:hAnsi="Times New Roman" w:cs="Times New Roman"/>
        </w:rPr>
        <w:t xml:space="preserve">в договоре энергоснабжения (договоре купли-продажи (поставки) электрической энергии (мощности)), договоре оказания услуг по передаче электрической энергии сторонами согласована методика выполнения измерений, аттестованная в </w:t>
      </w:r>
      <w:r w:rsidRPr="00F91541">
        <w:rPr>
          <w:rFonts w:ascii="Times New Roman" w:hAnsi="Times New Roman" w:cs="Times New Roman"/>
        </w:rPr>
        <w:lastRenderedPageBreak/>
        <w:t xml:space="preserve">установленном порядке, то при расчете величины потерь используется такая методика, кроме случаев, когда одна из сторон заявила о необходимости использования указанного в настоящем </w:t>
      </w:r>
      <w:r w:rsidR="000C66FA">
        <w:rPr>
          <w:rFonts w:ascii="Times New Roman" w:hAnsi="Times New Roman" w:cs="Times New Roman"/>
        </w:rPr>
        <w:t>абзаце</w:t>
      </w:r>
      <w:r w:rsidRPr="00F91541">
        <w:rPr>
          <w:rFonts w:ascii="Times New Roman" w:hAnsi="Times New Roman" w:cs="Times New Roman"/>
        </w:rPr>
        <w:t xml:space="preserve"> акта уполномоченного федерального органа. В этом случ</w:t>
      </w:r>
      <w:bookmarkStart w:id="0" w:name="_GoBack"/>
      <w:bookmarkEnd w:id="0"/>
      <w:r w:rsidRPr="00F91541">
        <w:rPr>
          <w:rFonts w:ascii="Times New Roman" w:hAnsi="Times New Roman" w:cs="Times New Roman"/>
        </w:rPr>
        <w:t>ае такой акт уполномоченного федерального органа используется с первого числа месяца, следующего за месяцем, в котором одна из сторон в письменной форме направила заявление о его использовании.</w:t>
      </w:r>
    </w:p>
    <w:sectPr w:rsidR="00F91541" w:rsidRPr="008269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D21"/>
    <w:rsid w:val="000711A9"/>
    <w:rsid w:val="000A2BFE"/>
    <w:rsid w:val="000C66FA"/>
    <w:rsid w:val="00102C02"/>
    <w:rsid w:val="001B685F"/>
    <w:rsid w:val="0020007F"/>
    <w:rsid w:val="002A5D3E"/>
    <w:rsid w:val="00442390"/>
    <w:rsid w:val="004F5723"/>
    <w:rsid w:val="00561785"/>
    <w:rsid w:val="005B4745"/>
    <w:rsid w:val="005D00C2"/>
    <w:rsid w:val="00666879"/>
    <w:rsid w:val="007C70BB"/>
    <w:rsid w:val="007F7415"/>
    <w:rsid w:val="008269EA"/>
    <w:rsid w:val="00835635"/>
    <w:rsid w:val="00874228"/>
    <w:rsid w:val="008A1D21"/>
    <w:rsid w:val="008E2E5E"/>
    <w:rsid w:val="009E4F69"/>
    <w:rsid w:val="00A419E0"/>
    <w:rsid w:val="00A86EA6"/>
    <w:rsid w:val="00AA4148"/>
    <w:rsid w:val="00B6720E"/>
    <w:rsid w:val="00BB26C1"/>
    <w:rsid w:val="00E150B0"/>
    <w:rsid w:val="00F91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627</Words>
  <Characters>3576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МРСК</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Набирухин Дмитрий Леонидович</dc:creator>
  <cp:lastModifiedBy>Набирухин Дмитрий Леонидович</cp:lastModifiedBy>
  <cp:revision>8</cp:revision>
  <dcterms:created xsi:type="dcterms:W3CDTF">2014-08-21T03:40:00Z</dcterms:created>
  <dcterms:modified xsi:type="dcterms:W3CDTF">2014-08-21T03:50:00Z</dcterms:modified>
</cp:coreProperties>
</file>